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0B86C349" w:rsidR="00F64FFA" w:rsidRDefault="00016D09">
            <w:pPr>
              <w:pStyle w:val="NoSpacing"/>
            </w:pPr>
            <w:r>
              <w:t>24</w:t>
            </w:r>
            <w:r w:rsidR="0063036B">
              <w:t xml:space="preserve"> February </w:t>
            </w:r>
            <w:r w:rsidR="004E58C3">
              <w:t>202</w:t>
            </w:r>
            <w:r w:rsidR="0063036B">
              <w:t>2</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1188A92B" w:rsidR="00F64FFA" w:rsidRDefault="00D66E1E">
            <w:pPr>
              <w:pStyle w:val="NoSpacing"/>
            </w:pPr>
            <w:r>
              <w:t>IRP</w:t>
            </w:r>
            <w:r w:rsidR="0097758C">
              <w:t>641</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340A734D" w:rsidR="00F64FFA" w:rsidRDefault="001B2922">
            <w:pPr>
              <w:pStyle w:val="NoSpacing"/>
            </w:pPr>
            <w:r>
              <w:t>TS1</w:t>
            </w:r>
            <w:r w:rsidR="00872757">
              <w:t>313</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5F6436D8" w:rsidR="00F64FFA" w:rsidRDefault="00872757">
            <w:pPr>
              <w:pStyle w:val="NoSpacing"/>
            </w:pPr>
            <w:r w:rsidRPr="00872757">
              <w:t>Debt to Clear definition query</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2B6BAB48" w:rsidR="00F64FFA" w:rsidRDefault="00C31671">
            <w:pPr>
              <w:pStyle w:val="NoSpacing"/>
            </w:pPr>
            <w:r w:rsidRPr="00C31671">
              <w:t>Honeywell</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3E76AAB2" w:rsidR="001B2922" w:rsidRDefault="00C31671" w:rsidP="001B2922">
            <w:pPr>
              <w:pStyle w:val="NoSpacing"/>
            </w:pPr>
            <w:r>
              <w:t>9 June 202</w:t>
            </w:r>
            <w:r w:rsidR="001D3BCA">
              <w:t>0</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7D4B5419"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4F325B73" w:rsidR="005B0CEC" w:rsidRDefault="00C31671" w:rsidP="005B0CEC">
            <w:pPr>
              <w:pStyle w:val="NoSpacing"/>
            </w:pPr>
            <w:r>
              <w:t>SMETS</w:t>
            </w:r>
            <w:r w:rsidR="004E58C3">
              <w:t xml:space="preserve">2 4 </w:t>
            </w:r>
            <w:r w:rsidR="00016D09">
              <w:t xml:space="preserve">November </w:t>
            </w:r>
            <w:r w:rsidR="004E58C3">
              <w:t>20</w:t>
            </w:r>
            <w:r w:rsidR="00016D09">
              <w:t>21</w:t>
            </w:r>
          </w:p>
        </w:tc>
      </w:tr>
    </w:tbl>
    <w:p w14:paraId="0B6849ED" w14:textId="77777777" w:rsidR="00F64FFA" w:rsidRDefault="0038696F">
      <w:pPr>
        <w:tabs>
          <w:tab w:val="left" w:pos="2507"/>
        </w:tabs>
        <w:rPr>
          <w:b/>
          <w:sz w:val="24"/>
          <w:szCs w:val="24"/>
        </w:rPr>
      </w:pPr>
      <w:r>
        <w:rPr>
          <w:b/>
          <w:sz w:val="24"/>
          <w:szCs w:val="24"/>
        </w:rPr>
        <w:t>Description:</w:t>
      </w:r>
      <w:r>
        <w:rPr>
          <w:b/>
          <w:sz w:val="24"/>
          <w:szCs w:val="24"/>
        </w:rPr>
        <w:tab/>
      </w:r>
    </w:p>
    <w:p w14:paraId="3BD72351"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 think we have found a minor discrepancy between the glossary definition of Debt to Clear and the more detailed definition in SMETS2</w:t>
      </w:r>
      <w:r>
        <w:rPr>
          <w:rStyle w:val="eop"/>
          <w:rFonts w:ascii="Arial" w:eastAsiaTheme="majorEastAsia" w:hAnsi="Arial"/>
          <w:sz w:val="22"/>
          <w:szCs w:val="22"/>
        </w:rPr>
        <w:t> </w:t>
      </w:r>
    </w:p>
    <w:p w14:paraId="4772AB46"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The glossary definition of Debt to Clear, which has not changed since Version 1.57 is as follows  </w:t>
      </w:r>
      <w:r>
        <w:rPr>
          <w:rStyle w:val="eop"/>
          <w:rFonts w:ascii="Arial" w:eastAsiaTheme="majorEastAsia" w:hAnsi="Arial"/>
          <w:sz w:val="22"/>
          <w:szCs w:val="22"/>
        </w:rPr>
        <w:t> </w:t>
      </w:r>
    </w:p>
    <w:p w14:paraId="152175E6"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“The amount of credit the consumer needs to add to ESME or GSME to cause the Meter Balance to rise to the disablement threshold when operating in Prepayment Mode.”</w:t>
      </w:r>
      <w:r>
        <w:rPr>
          <w:rStyle w:val="eop"/>
          <w:rFonts w:ascii="Arial" w:eastAsiaTheme="majorEastAsia" w:hAnsi="Arial"/>
          <w:sz w:val="22"/>
          <w:szCs w:val="22"/>
        </w:rPr>
        <w:t> </w:t>
      </w:r>
    </w:p>
    <w:p w14:paraId="3FB4A763"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The more defined definition in 4.4.7.2 advises</w:t>
      </w:r>
      <w:r>
        <w:rPr>
          <w:rStyle w:val="eop"/>
          <w:rFonts w:ascii="Arial" w:eastAsiaTheme="majorEastAsia" w:hAnsi="Arial"/>
          <w:sz w:val="22"/>
          <w:szCs w:val="22"/>
        </w:rPr>
        <w:t> </w:t>
      </w:r>
    </w:p>
    <w:p w14:paraId="10864899"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If the Meter Balance(4.6.5.11) is equal to or below the Disablement Threshold(4.6.4.12) GSME shall be capable of maintaining a calculation of the Debt to Clear based on:</w:t>
      </w:r>
      <w:r>
        <w:rPr>
          <w:rStyle w:val="eop"/>
          <w:rFonts w:ascii="Arial" w:eastAsiaTheme="majorEastAsia" w:hAnsi="Arial"/>
          <w:sz w:val="22"/>
          <w:szCs w:val="22"/>
        </w:rPr>
        <w:t> </w:t>
      </w:r>
    </w:p>
    <w:p w14:paraId="0A9BE1F0"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viii.  the difference between the Meter Balance(4.6.5.11) and the Disablement Threshold(4.6.4.12);</w:t>
      </w:r>
      <w:r>
        <w:rPr>
          <w:rStyle w:val="eop"/>
          <w:rFonts w:ascii="Arial" w:eastAsiaTheme="majorEastAsia" w:hAnsi="Arial"/>
          <w:sz w:val="22"/>
          <w:szCs w:val="22"/>
        </w:rPr>
        <w:t> </w:t>
      </w:r>
    </w:p>
    <w:p w14:paraId="19376B30"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ix.    amount of debt accumulated in the Accumulated Debt Register(4.6.5.1);</w:t>
      </w:r>
      <w:r>
        <w:rPr>
          <w:rStyle w:val="eop"/>
          <w:rFonts w:ascii="Arial" w:eastAsiaTheme="majorEastAsia" w:hAnsi="Arial"/>
          <w:sz w:val="22"/>
          <w:szCs w:val="22"/>
        </w:rPr>
        <w:t> </w:t>
      </w:r>
    </w:p>
    <w:p w14:paraId="7E17D059"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     amount of Emergency Credit activated and used by the Consumer; and</w:t>
      </w:r>
      <w:r>
        <w:rPr>
          <w:rStyle w:val="eop"/>
          <w:rFonts w:ascii="Arial" w:eastAsiaTheme="majorEastAsia" w:hAnsi="Arial"/>
          <w:sz w:val="22"/>
          <w:szCs w:val="22"/>
        </w:rPr>
        <w:t> </w:t>
      </w:r>
    </w:p>
    <w:p w14:paraId="72A0E435"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xi.    the payment-based debt to be collected based on (viii), (ix) and (x) (as defined by Debt Recovery per Payment(4.6.4.8) taking account of the amount remaining in the Payment Debt Register(4.6.5.13), the payment-based debt payments in the Billing Data Log(4.6.5.3) and the Debt Recovery Rate Cap(4.6.4.10)).</w:t>
      </w:r>
      <w:r>
        <w:rPr>
          <w:rStyle w:val="eop"/>
          <w:rFonts w:ascii="Arial" w:eastAsiaTheme="majorEastAsia" w:hAnsi="Arial"/>
          <w:sz w:val="22"/>
          <w:szCs w:val="22"/>
        </w:rPr>
        <w:t> </w:t>
      </w:r>
    </w:p>
    <w:p w14:paraId="215FCB74"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The issue we have is that the order of applying credit as defined in 4.5.3.3 is </w:t>
      </w:r>
      <w:r>
        <w:rPr>
          <w:rStyle w:val="eop"/>
          <w:rFonts w:ascii="Arial" w:eastAsiaTheme="majorEastAsia" w:hAnsi="Arial"/>
          <w:sz w:val="22"/>
          <w:szCs w:val="22"/>
        </w:rPr>
        <w:t> </w:t>
      </w:r>
    </w:p>
    <w:p w14:paraId="730CE0E7"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In executing the Command, GSME shall be capable of applying the credit added in the following order:</w:t>
      </w:r>
      <w:r>
        <w:rPr>
          <w:rStyle w:val="eop"/>
          <w:rFonts w:ascii="Arial" w:eastAsiaTheme="majorEastAsia" w:hAnsi="Arial"/>
          <w:sz w:val="22"/>
          <w:szCs w:val="22"/>
        </w:rPr>
        <w:t> </w:t>
      </w:r>
    </w:p>
    <w:p w14:paraId="501CEDDC"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xii.  recovery of payment-based debt of an amount defined by Debt Recovery per Payment(4.6.4.8) from the Payment Debt Register(4.6.5.13) subject to the Debt Recovery Rate Cap(4.6.4.10);</w:t>
      </w:r>
      <w:r>
        <w:rPr>
          <w:rStyle w:val="eop"/>
          <w:rFonts w:ascii="Arial" w:eastAsiaTheme="majorEastAsia" w:hAnsi="Arial"/>
          <w:sz w:val="22"/>
          <w:szCs w:val="22"/>
        </w:rPr>
        <w:t> </w:t>
      </w:r>
    </w:p>
    <w:p w14:paraId="00DDF927"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xiii. recovery of debt accumulated in the Accumulated Debt Register(4.6.5.1); </w:t>
      </w:r>
      <w:r>
        <w:rPr>
          <w:rStyle w:val="eop"/>
          <w:rFonts w:ascii="Arial" w:eastAsiaTheme="majorEastAsia" w:hAnsi="Arial"/>
          <w:sz w:val="22"/>
          <w:szCs w:val="22"/>
        </w:rPr>
        <w:t> </w:t>
      </w:r>
    </w:p>
    <w:p w14:paraId="5EABF3AE"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xiv. </w:t>
      </w:r>
      <w:r>
        <w:rPr>
          <w:rStyle w:val="normaltextrun"/>
          <w:rFonts w:ascii="Arial" w:hAnsi="Arial" w:cs="Arial"/>
          <w:sz w:val="22"/>
          <w:szCs w:val="22"/>
          <w:shd w:val="clear" w:color="auto" w:fill="FFFF00"/>
        </w:rPr>
        <w:t>where the Meter Balance(4.6.5.11) is less than the Disablement Threshold(4.6.4.12), increasing the Meter Balance(4.6.5.11) until it is equal to the Disablement Threshold(4.6.4.12);</w:t>
      </w:r>
      <w:r>
        <w:rPr>
          <w:rStyle w:val="eop"/>
          <w:rFonts w:ascii="Arial" w:eastAsiaTheme="majorEastAsia" w:hAnsi="Arial"/>
          <w:sz w:val="22"/>
          <w:szCs w:val="22"/>
        </w:rPr>
        <w:t> </w:t>
      </w:r>
    </w:p>
    <w:p w14:paraId="05B041FE"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xv.  repayment of Emergency Credit activated and used by the Consumer and so increasing the Emergency Credit Balance(4.6.5.8) accordingly; and</w:t>
      </w:r>
      <w:r>
        <w:rPr>
          <w:rStyle w:val="eop"/>
          <w:rFonts w:ascii="Arial" w:eastAsiaTheme="majorEastAsia" w:hAnsi="Arial"/>
          <w:sz w:val="22"/>
          <w:szCs w:val="22"/>
        </w:rPr>
        <w:t> </w:t>
      </w:r>
    </w:p>
    <w:p w14:paraId="55E05BCE"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xvi. adding remaining credit (the credit after deduction of (xii), (xiii), (xiv) and (xv) above) to the Meter Balance(4.6.5.11).</w:t>
      </w:r>
      <w:r>
        <w:rPr>
          <w:rStyle w:val="eop"/>
          <w:rFonts w:ascii="Arial" w:eastAsiaTheme="majorEastAsia" w:hAnsi="Arial"/>
          <w:sz w:val="22"/>
          <w:szCs w:val="22"/>
        </w:rPr>
        <w:t> </w:t>
      </w:r>
    </w:p>
    <w:p w14:paraId="1B2EBFF6"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Based on the glossary definition that credit only needs to cause the meter balance to rise to the disablement threshold, it could be construed that once you have added enough credit to pay off the following the meter balance is at the disablement threshold</w:t>
      </w:r>
      <w:r>
        <w:rPr>
          <w:rStyle w:val="eop"/>
          <w:rFonts w:ascii="Arial" w:eastAsiaTheme="majorEastAsia" w:hAnsi="Arial"/>
          <w:sz w:val="22"/>
          <w:szCs w:val="22"/>
        </w:rPr>
        <w:t> </w:t>
      </w:r>
    </w:p>
    <w:p w14:paraId="6B86F6D6"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lastRenderedPageBreak/>
        <w:t>xii.  recovery of payment-based debt of an amount defined by Debt Recovery per Payment(4.6.4.8) from the Payment Debt Register(4.6.5.13) subject to the Debt Recovery Rate Cap(4.6.4.10);</w:t>
      </w:r>
      <w:r>
        <w:rPr>
          <w:rStyle w:val="eop"/>
          <w:rFonts w:ascii="Arial" w:eastAsiaTheme="majorEastAsia" w:hAnsi="Arial"/>
          <w:sz w:val="22"/>
          <w:szCs w:val="22"/>
        </w:rPr>
        <w:t> </w:t>
      </w:r>
    </w:p>
    <w:p w14:paraId="33B871F8"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xiii. recovery of debt accumulated in the Accumulated Debt Register(4.6.5.1); </w:t>
      </w:r>
      <w:r>
        <w:rPr>
          <w:rStyle w:val="eop"/>
          <w:rFonts w:ascii="Arial" w:eastAsiaTheme="majorEastAsia" w:hAnsi="Arial"/>
          <w:sz w:val="22"/>
          <w:szCs w:val="22"/>
        </w:rPr>
        <w:t> </w:t>
      </w:r>
    </w:p>
    <w:p w14:paraId="45F9053E"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xiv. </w:t>
      </w:r>
      <w:r>
        <w:rPr>
          <w:rStyle w:val="normaltextrun"/>
          <w:rFonts w:ascii="Arial" w:hAnsi="Arial" w:cs="Arial"/>
          <w:sz w:val="22"/>
          <w:szCs w:val="22"/>
          <w:shd w:val="clear" w:color="auto" w:fill="FFFF00"/>
        </w:rPr>
        <w:t>where the Meter Balance(4.6.5.11) is less than the Disablement Threshold(4.6.4.12), increasing the Meter Balance(4.6.5.11) until it is equal to the Disablement Threshold(4.6.4.12);</w:t>
      </w:r>
      <w:r>
        <w:rPr>
          <w:rStyle w:val="eop"/>
          <w:rFonts w:ascii="Arial" w:eastAsiaTheme="majorEastAsia" w:hAnsi="Arial"/>
          <w:sz w:val="22"/>
          <w:szCs w:val="22"/>
        </w:rPr>
        <w:t> </w:t>
      </w:r>
    </w:p>
    <w:p w14:paraId="7D4B06AB"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This would infer that you do not include repayment of Emergency Credit activated and used in the Debt to Clear calculation.</w:t>
      </w:r>
      <w:r>
        <w:rPr>
          <w:rStyle w:val="eop"/>
          <w:rFonts w:ascii="Arial" w:eastAsiaTheme="majorEastAsia" w:hAnsi="Arial"/>
          <w:sz w:val="22"/>
          <w:szCs w:val="22"/>
        </w:rPr>
        <w:t> </w:t>
      </w:r>
    </w:p>
    <w:p w14:paraId="424BC495" w14:textId="77777777" w:rsidR="00C31671" w:rsidRDefault="00C31671" w:rsidP="00C3167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The line “xiv. where the Meter Balance(4.6.5.11) is less than the Disablement Threshold(4.6.4.12), increasing the Meter Balance(4.6.5.11) until it is equal to the Disablement Threshold(4.6.4.12)” was not in Version 1.57 and was only added in a later version of SMETS and therefore I presume it was an oversight not to update the glossary definition at the same time.</w:t>
      </w:r>
      <w:r>
        <w:rPr>
          <w:rStyle w:val="eop"/>
          <w:rFonts w:ascii="Arial" w:eastAsiaTheme="majorEastAsia" w:hAnsi="Arial"/>
          <w:sz w:val="22"/>
          <w:szCs w:val="22"/>
        </w:rPr>
        <w:t> </w:t>
      </w:r>
    </w:p>
    <w:p w14:paraId="54435149" w14:textId="72C7F84F" w:rsidR="0003209A" w:rsidRPr="00915E88" w:rsidRDefault="00915E88" w:rsidP="00141C1E">
      <w:pPr>
        <w:rPr>
          <w:bCs/>
          <w:sz w:val="24"/>
          <w:szCs w:val="24"/>
        </w:rPr>
      </w:pPr>
      <w:r>
        <w:rPr>
          <w:bCs/>
          <w:sz w:val="24"/>
          <w:szCs w:val="24"/>
        </w:rPr>
        <w:t xml:space="preserve"> </w:t>
      </w:r>
    </w:p>
    <w:p w14:paraId="06C863B2" w14:textId="5BC5F48B" w:rsidR="00F64FFA" w:rsidRDefault="0038696F">
      <w:pPr>
        <w:rPr>
          <w:b/>
          <w:sz w:val="24"/>
          <w:szCs w:val="24"/>
        </w:rPr>
      </w:pPr>
      <w:r>
        <w:rPr>
          <w:b/>
          <w:sz w:val="24"/>
          <w:szCs w:val="24"/>
        </w:rPr>
        <w:t>Proposed Position:</w:t>
      </w:r>
    </w:p>
    <w:p w14:paraId="75004985" w14:textId="4DE63CD7" w:rsidR="00AC2E52" w:rsidRDefault="00C31671" w:rsidP="0084101E">
      <w:r>
        <w:rPr>
          <w:bCs/>
        </w:rPr>
        <w:t>As explained in the issue, the</w:t>
      </w:r>
      <w:r w:rsidR="00AC2E52">
        <w:rPr>
          <w:bCs/>
        </w:rPr>
        <w:t>re is, in the SME</w:t>
      </w:r>
      <w:r w:rsidR="00545A51">
        <w:rPr>
          <w:bCs/>
        </w:rPr>
        <w:t>T</w:t>
      </w:r>
      <w:r w:rsidR="00AC2E52">
        <w:rPr>
          <w:bCs/>
        </w:rPr>
        <w:t xml:space="preserve">S Glossary definition, potential ambiguity as to whether repayment of the </w:t>
      </w:r>
      <w:r w:rsidR="00AC2E52" w:rsidRPr="00AC2E52">
        <w:rPr>
          <w:bCs/>
          <w:i/>
          <w:iCs/>
        </w:rPr>
        <w:t>‘</w:t>
      </w:r>
      <w:r w:rsidR="00AC2E52" w:rsidRPr="00AC2E52">
        <w:rPr>
          <w:i/>
          <w:iCs/>
        </w:rPr>
        <w:t>amount of Emergency Credit activated and used by the Consumer’</w:t>
      </w:r>
      <w:r w:rsidR="00AC2E52">
        <w:t xml:space="preserve"> should be included in the calculated value of ‘Debt to Clear’</w:t>
      </w:r>
      <w:r w:rsidR="00016D09">
        <w:t>,</w:t>
      </w:r>
      <w:r w:rsidR="00AC2E52">
        <w:t xml:space="preserve"> or not</w:t>
      </w:r>
      <w:r w:rsidR="00A25E0A">
        <w:rPr>
          <w:rStyle w:val="FootnoteReference"/>
        </w:rPr>
        <w:footnoteReference w:id="1"/>
      </w:r>
      <w:r w:rsidR="00AC2E52">
        <w:t>.</w:t>
      </w:r>
    </w:p>
    <w:p w14:paraId="7DAE8421" w14:textId="5271F459" w:rsidR="00AC2E52" w:rsidRDefault="00AC2E52" w:rsidP="0084101E">
      <w:r>
        <w:t xml:space="preserve">However, there are five </w:t>
      </w:r>
      <w:r w:rsidR="004E58C3">
        <w:t>S</w:t>
      </w:r>
      <w:r>
        <w:t>ections in SMETS</w:t>
      </w:r>
      <w:r>
        <w:rPr>
          <w:bCs/>
        </w:rPr>
        <w:t xml:space="preserve"> (4.4.7.2, 5.5.7.2, 5.11.2.2, 7.4.3.1 and 7.4.3.2), which detail the calculation of Debt To Clear for each of the GSME, ESME and PPMID. </w:t>
      </w:r>
      <w:r w:rsidR="004E58C3">
        <w:rPr>
          <w:bCs/>
        </w:rPr>
        <w:t xml:space="preserve"> </w:t>
      </w:r>
      <w:r>
        <w:rPr>
          <w:bCs/>
        </w:rPr>
        <w:t xml:space="preserve">All five of those </w:t>
      </w:r>
      <w:r w:rsidR="004E58C3">
        <w:rPr>
          <w:bCs/>
        </w:rPr>
        <w:t>S</w:t>
      </w:r>
      <w:r>
        <w:rPr>
          <w:bCs/>
        </w:rPr>
        <w:t xml:space="preserve">ections explicitly state that the </w:t>
      </w:r>
      <w:bookmarkStart w:id="1" w:name="_Hlk62475324"/>
      <w:r w:rsidRPr="00AC2E52">
        <w:rPr>
          <w:bCs/>
          <w:i/>
          <w:iCs/>
        </w:rPr>
        <w:t>‘</w:t>
      </w:r>
      <w:r w:rsidRPr="00AC2E52">
        <w:rPr>
          <w:i/>
          <w:iCs/>
        </w:rPr>
        <w:t>amount of Emergency Credit activated and used by the Consumer’</w:t>
      </w:r>
      <w:bookmarkEnd w:id="1"/>
      <w:r>
        <w:t xml:space="preserve"> has to be included in the Debt to Clear calculation.</w:t>
      </w:r>
    </w:p>
    <w:p w14:paraId="1BB9BAA7" w14:textId="313DEB0B" w:rsidR="00AC2E52" w:rsidRDefault="00AC2E52" w:rsidP="0084101E">
      <w:r>
        <w:t>The proposed change is to amend the Glossary definition to make explicit the</w:t>
      </w:r>
      <w:r w:rsidR="00545A51">
        <w:t xml:space="preserve"> Glossary</w:t>
      </w:r>
      <w:r>
        <w:t xml:space="preserve"> alignment to the requirements on GSME, ESME and PPMID.</w:t>
      </w:r>
    </w:p>
    <w:p w14:paraId="42E58488" w14:textId="77777777" w:rsidR="004E58C3" w:rsidRDefault="004E58C3">
      <w:pPr>
        <w:rPr>
          <w:b/>
          <w:sz w:val="24"/>
          <w:szCs w:val="24"/>
        </w:rPr>
      </w:pPr>
    </w:p>
    <w:p w14:paraId="4FA9F35C" w14:textId="78B7EBFF" w:rsidR="00F64FFA" w:rsidRDefault="0038696F">
      <w:pPr>
        <w:rPr>
          <w:b/>
          <w:sz w:val="24"/>
          <w:szCs w:val="24"/>
        </w:rPr>
      </w:pPr>
      <w:r>
        <w:rPr>
          <w:b/>
          <w:sz w:val="24"/>
          <w:szCs w:val="24"/>
        </w:rPr>
        <w:t xml:space="preserve">Interoperability and / or Compatibility </w:t>
      </w:r>
    </w:p>
    <w:p w14:paraId="5B39F16C" w14:textId="2D8A9F6C" w:rsidR="001B2922" w:rsidRDefault="00B95895">
      <w:pPr>
        <w:rPr>
          <w:rFonts w:eastAsia="Times New Roman" w:cs="Arial"/>
          <w:color w:val="000000"/>
          <w:lang w:eastAsia="en-GB"/>
        </w:rPr>
      </w:pPr>
      <w:r>
        <w:rPr>
          <w:rFonts w:eastAsia="Times New Roman" w:cs="Arial"/>
          <w:color w:val="000000"/>
          <w:lang w:eastAsia="en-GB"/>
        </w:rPr>
        <w:t xml:space="preserve">This change </w:t>
      </w:r>
      <w:r w:rsidR="00AC2E52">
        <w:rPr>
          <w:rFonts w:eastAsia="Times New Roman" w:cs="Arial"/>
          <w:color w:val="000000"/>
          <w:lang w:eastAsia="en-GB"/>
        </w:rPr>
        <w:t>is to align a Glossary term explicitly to existing GSME, ESME and PPMID requirements in SMETS</w:t>
      </w:r>
      <w:r w:rsidR="00CC712A">
        <w:rPr>
          <w:rFonts w:eastAsia="Times New Roman" w:cs="Arial"/>
          <w:color w:val="000000"/>
          <w:lang w:eastAsia="en-GB"/>
        </w:rPr>
        <w:t xml:space="preserve">. </w:t>
      </w:r>
      <w:r w:rsidR="004E58C3">
        <w:rPr>
          <w:rFonts w:eastAsia="Times New Roman" w:cs="Arial"/>
          <w:color w:val="000000"/>
          <w:lang w:eastAsia="en-GB"/>
        </w:rPr>
        <w:t xml:space="preserve"> </w:t>
      </w:r>
      <w:r w:rsidR="00452750">
        <w:rPr>
          <w:rFonts w:eastAsia="Times New Roman" w:cs="Arial"/>
          <w:color w:val="000000"/>
          <w:lang w:eastAsia="en-GB"/>
        </w:rPr>
        <w:t>Therefore, it has</w:t>
      </w:r>
      <w:r w:rsidR="001B2922" w:rsidRPr="0011199E">
        <w:rPr>
          <w:rFonts w:eastAsia="Times New Roman" w:cs="Arial"/>
          <w:color w:val="000000"/>
          <w:lang w:eastAsia="en-GB"/>
        </w:rPr>
        <w:t xml:space="preserve"> no impact on </w:t>
      </w:r>
      <w:r w:rsidR="00C76F4C">
        <w:rPr>
          <w:rFonts w:eastAsia="Times New Roman" w:cs="Arial"/>
          <w:color w:val="000000"/>
          <w:lang w:eastAsia="en-GB"/>
        </w:rPr>
        <w:t xml:space="preserve">DCC Users, consumers, </w:t>
      </w:r>
      <w:r w:rsidR="001B2922" w:rsidRPr="0011199E">
        <w:rPr>
          <w:rFonts w:eastAsia="Times New Roman" w:cs="Arial"/>
          <w:color w:val="000000"/>
          <w:lang w:eastAsia="en-GB"/>
        </w:rPr>
        <w:t>systems</w:t>
      </w:r>
      <w:r w:rsidR="00EC3763">
        <w:rPr>
          <w:rFonts w:eastAsia="Times New Roman" w:cs="Arial"/>
          <w:color w:val="000000"/>
          <w:lang w:eastAsia="en-GB"/>
        </w:rPr>
        <w:t>,</w:t>
      </w:r>
      <w:r w:rsidR="001B2922" w:rsidRPr="0011199E">
        <w:rPr>
          <w:rFonts w:eastAsia="Times New Roman" w:cs="Arial"/>
          <w:color w:val="000000"/>
          <w:lang w:eastAsia="en-GB"/>
        </w:rPr>
        <w:t xml:space="preserve"> or Devices.</w:t>
      </w:r>
    </w:p>
    <w:p w14:paraId="6CA3B840" w14:textId="77777777" w:rsidR="00CC3C81" w:rsidRPr="0011199E" w:rsidRDefault="00CC3C81">
      <w:pPr>
        <w:rPr>
          <w:rFonts w:eastAsia="Times New Roman" w:cs="Arial"/>
          <w:color w:val="000000"/>
          <w:lang w:eastAsia="en-GB"/>
        </w:rPr>
      </w:pPr>
    </w:p>
    <w:p w14:paraId="4055622C" w14:textId="57422019" w:rsidR="00F64FFA" w:rsidRDefault="0038696F">
      <w:pPr>
        <w:rPr>
          <w:b/>
          <w:sz w:val="24"/>
          <w:szCs w:val="24"/>
        </w:rPr>
      </w:pPr>
      <w:r>
        <w:rPr>
          <w:b/>
          <w:sz w:val="24"/>
          <w:szCs w:val="24"/>
        </w:rPr>
        <w:t>Required Changes to Documentation:</w:t>
      </w:r>
    </w:p>
    <w:p w14:paraId="1ED645F6" w14:textId="406B4B58" w:rsidR="00545A51" w:rsidRDefault="00545A51">
      <w:pPr>
        <w:rPr>
          <w:bCs/>
          <w:sz w:val="24"/>
          <w:szCs w:val="24"/>
        </w:rPr>
      </w:pPr>
      <w:r w:rsidRPr="00545A51">
        <w:rPr>
          <w:bCs/>
          <w:sz w:val="24"/>
          <w:szCs w:val="24"/>
        </w:rPr>
        <w:t xml:space="preserve">In the SMETS Glossary, </w:t>
      </w:r>
      <w:r w:rsidR="00C925E7">
        <w:rPr>
          <w:bCs/>
          <w:sz w:val="24"/>
          <w:szCs w:val="24"/>
        </w:rPr>
        <w:t xml:space="preserve">make the changes </w:t>
      </w:r>
      <w:r w:rsidR="007D3610">
        <w:rPr>
          <w:bCs/>
          <w:sz w:val="24"/>
          <w:szCs w:val="24"/>
        </w:rPr>
        <w:t>to the definition for ‘Debt to Clear’ as shown in the markup below</w:t>
      </w:r>
      <w:r w:rsidRPr="00545A51">
        <w:rPr>
          <w:bCs/>
          <w:sz w:val="24"/>
          <w:szCs w:val="24"/>
        </w:rPr>
        <w:t>:</w:t>
      </w:r>
    </w:p>
    <w:p w14:paraId="49130169" w14:textId="12B2868A" w:rsidR="00EC3763" w:rsidRDefault="00F27643">
      <w:pPr>
        <w:rPr>
          <w:bCs/>
          <w:sz w:val="24"/>
          <w:szCs w:val="24"/>
        </w:rPr>
      </w:pPr>
      <w:r>
        <w:rPr>
          <w:noProof/>
        </w:rPr>
        <w:drawing>
          <wp:inline distT="0" distB="0" distL="0" distR="0" wp14:anchorId="3DE0319D" wp14:editId="4FD892C1">
            <wp:extent cx="576072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933450"/>
                    </a:xfrm>
                    <a:prstGeom prst="rect">
                      <a:avLst/>
                    </a:prstGeom>
                  </pic:spPr>
                </pic:pic>
              </a:graphicData>
            </a:graphic>
          </wp:inline>
        </w:drawing>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C31671" w:rsidRDefault="00452750">
            <w:pPr>
              <w:pStyle w:val="NoSpacing"/>
            </w:pPr>
            <w:r w:rsidRPr="00C31671">
              <w:t>None</w:t>
            </w:r>
          </w:p>
        </w:tc>
      </w:tr>
      <w:tr w:rsidR="005B0CE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627FC907" w:rsidR="005B0CEC" w:rsidRDefault="00452750" w:rsidP="00D96D35">
            <w:pPr>
              <w:pStyle w:val="NoSpacing"/>
            </w:pPr>
            <w:r>
              <w:t>None</w:t>
            </w:r>
            <w:r w:rsidR="004E58C3">
              <w:t xml:space="preserve">, </w:t>
            </w:r>
            <w:r w:rsidR="004E58C3">
              <w:rPr>
                <w:rFonts w:eastAsia="Calibri"/>
                <w:bCs/>
              </w:rPr>
              <w:t xml:space="preserve">this is a documentation-only change leading to no change in </w:t>
            </w:r>
            <w:r w:rsidR="007D3610">
              <w:rPr>
                <w:rFonts w:eastAsia="Calibri"/>
                <w:bCs/>
              </w:rPr>
              <w:t xml:space="preserve">processing. </w:t>
            </w:r>
          </w:p>
        </w:tc>
      </w:tr>
    </w:tbl>
    <w:p w14:paraId="07FB5D6A" w14:textId="77777777" w:rsidR="005B0CEC" w:rsidRDefault="005B0CEC" w:rsidP="00AF32C1">
      <w:pPr>
        <w:spacing w:before="0" w:after="0"/>
      </w:pPr>
    </w:p>
    <w:sectPr w:rsidR="005B0CEC" w:rsidSect="00B65B15">
      <w:headerReference w:type="even" r:id="rId13"/>
      <w:headerReference w:type="default" r:id="rId14"/>
      <w:footerReference w:type="even" r:id="rId15"/>
      <w:footerReference w:type="default" r:id="rId16"/>
      <w:headerReference w:type="first" r:id="rId17"/>
      <w:footerReference w:type="first" r:id="rId18"/>
      <w:pgSz w:w="11906" w:h="16838"/>
      <w:pgMar w:top="851"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9F3D" w14:textId="77777777" w:rsidR="00643F8D" w:rsidRDefault="00643F8D">
      <w:pPr>
        <w:spacing w:before="0" w:after="0"/>
      </w:pPr>
      <w:r>
        <w:separator/>
      </w:r>
    </w:p>
  </w:endnote>
  <w:endnote w:type="continuationSeparator" w:id="0">
    <w:p w14:paraId="695E5A70" w14:textId="77777777" w:rsidR="00643F8D" w:rsidRDefault="00643F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AB052" w14:textId="77777777" w:rsidR="00643F8D" w:rsidRDefault="00643F8D">
      <w:pPr>
        <w:spacing w:before="0" w:after="0"/>
      </w:pPr>
      <w:r>
        <w:separator/>
      </w:r>
    </w:p>
  </w:footnote>
  <w:footnote w:type="continuationSeparator" w:id="0">
    <w:p w14:paraId="29FDC784" w14:textId="77777777" w:rsidR="00643F8D" w:rsidRDefault="00643F8D">
      <w:pPr>
        <w:spacing w:before="0" w:after="0"/>
      </w:pPr>
      <w:r>
        <w:continuationSeparator/>
      </w:r>
    </w:p>
  </w:footnote>
  <w:footnote w:id="1">
    <w:p w14:paraId="14DC78CD" w14:textId="65B4889B" w:rsidR="00A25E0A" w:rsidRPr="0084101E" w:rsidRDefault="00A25E0A" w:rsidP="00A25E0A">
      <w:pPr>
        <w:rPr>
          <w:bCs/>
        </w:rPr>
      </w:pPr>
      <w:r>
        <w:rPr>
          <w:rStyle w:val="FootnoteReference"/>
        </w:rPr>
        <w:footnoteRef/>
      </w:r>
      <w:r>
        <w:t xml:space="preserve"> </w:t>
      </w:r>
      <w:r>
        <w:rPr>
          <w:bCs/>
        </w:rPr>
        <w:t>Other relevant issues including TS0625 have been considered</w:t>
      </w:r>
      <w:r w:rsidR="0024738E">
        <w:rPr>
          <w:bCs/>
        </w:rPr>
        <w:t>.</w:t>
      </w:r>
    </w:p>
    <w:p w14:paraId="0FAAC06A" w14:textId="69131DCC" w:rsidR="00A25E0A" w:rsidRDefault="00A25E0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6"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0"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6"/>
  </w:num>
  <w:num w:numId="4">
    <w:abstractNumId w:val="10"/>
  </w:num>
  <w:num w:numId="5">
    <w:abstractNumId w:val="10"/>
    <w:lvlOverride w:ilvl="0">
      <w:startOverride w:val="1"/>
    </w:lvlOverride>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 w:numId="13">
    <w:abstractNumId w:val="14"/>
  </w:num>
  <w:num w:numId="14">
    <w:abstractNumId w:val="1"/>
  </w:num>
  <w:num w:numId="15">
    <w:abstractNumId w:val="12"/>
  </w:num>
  <w:num w:numId="16">
    <w:abstractNumId w:val="15"/>
  </w:num>
  <w:num w:numId="17">
    <w:abstractNumId w:val="5"/>
  </w:num>
  <w:num w:numId="18">
    <w:abstractNumId w:val="13"/>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16D09"/>
    <w:rsid w:val="0003209A"/>
    <w:rsid w:val="00035F16"/>
    <w:rsid w:val="00044CD3"/>
    <w:rsid w:val="000465AF"/>
    <w:rsid w:val="000503C8"/>
    <w:rsid w:val="000556BC"/>
    <w:rsid w:val="00055924"/>
    <w:rsid w:val="00066E0C"/>
    <w:rsid w:val="0007051A"/>
    <w:rsid w:val="00077B30"/>
    <w:rsid w:val="00094E94"/>
    <w:rsid w:val="000A1795"/>
    <w:rsid w:val="000B7CA5"/>
    <w:rsid w:val="000C1B33"/>
    <w:rsid w:val="000E66EC"/>
    <w:rsid w:val="000E7978"/>
    <w:rsid w:val="001027A5"/>
    <w:rsid w:val="0011199E"/>
    <w:rsid w:val="001129E1"/>
    <w:rsid w:val="00113ACE"/>
    <w:rsid w:val="00123BCE"/>
    <w:rsid w:val="00127302"/>
    <w:rsid w:val="0014127D"/>
    <w:rsid w:val="00141C1E"/>
    <w:rsid w:val="00142A5D"/>
    <w:rsid w:val="001574F7"/>
    <w:rsid w:val="00166C24"/>
    <w:rsid w:val="001805C4"/>
    <w:rsid w:val="0018198F"/>
    <w:rsid w:val="001A242E"/>
    <w:rsid w:val="001B2922"/>
    <w:rsid w:val="001C781A"/>
    <w:rsid w:val="001D0AA8"/>
    <w:rsid w:val="001D3BCA"/>
    <w:rsid w:val="001E227B"/>
    <w:rsid w:val="001F55F2"/>
    <w:rsid w:val="00210851"/>
    <w:rsid w:val="00221578"/>
    <w:rsid w:val="00225566"/>
    <w:rsid w:val="0024738E"/>
    <w:rsid w:val="0027799B"/>
    <w:rsid w:val="00290D73"/>
    <w:rsid w:val="002B3606"/>
    <w:rsid w:val="002C046B"/>
    <w:rsid w:val="002D1B0F"/>
    <w:rsid w:val="002D773A"/>
    <w:rsid w:val="002D77A9"/>
    <w:rsid w:val="002E5B58"/>
    <w:rsid w:val="002E5E78"/>
    <w:rsid w:val="00310658"/>
    <w:rsid w:val="003658A8"/>
    <w:rsid w:val="00365AE7"/>
    <w:rsid w:val="00367259"/>
    <w:rsid w:val="003723C8"/>
    <w:rsid w:val="00382AFD"/>
    <w:rsid w:val="0038696F"/>
    <w:rsid w:val="003A277E"/>
    <w:rsid w:val="00413638"/>
    <w:rsid w:val="00417586"/>
    <w:rsid w:val="00420E5A"/>
    <w:rsid w:val="00421F2D"/>
    <w:rsid w:val="004232C7"/>
    <w:rsid w:val="00432595"/>
    <w:rsid w:val="00447825"/>
    <w:rsid w:val="00452750"/>
    <w:rsid w:val="0047062D"/>
    <w:rsid w:val="00470EB3"/>
    <w:rsid w:val="004A2CA1"/>
    <w:rsid w:val="004A4BDF"/>
    <w:rsid w:val="004E58C3"/>
    <w:rsid w:val="004F422B"/>
    <w:rsid w:val="00521F9A"/>
    <w:rsid w:val="00530D16"/>
    <w:rsid w:val="00536D68"/>
    <w:rsid w:val="00545A51"/>
    <w:rsid w:val="00551EFA"/>
    <w:rsid w:val="005611B6"/>
    <w:rsid w:val="00562558"/>
    <w:rsid w:val="00564C81"/>
    <w:rsid w:val="005704C5"/>
    <w:rsid w:val="0058552C"/>
    <w:rsid w:val="005A7D78"/>
    <w:rsid w:val="005B0CEC"/>
    <w:rsid w:val="005D705D"/>
    <w:rsid w:val="006003A5"/>
    <w:rsid w:val="00605321"/>
    <w:rsid w:val="0062732E"/>
    <w:rsid w:val="0063036B"/>
    <w:rsid w:val="00643F8D"/>
    <w:rsid w:val="00673DF3"/>
    <w:rsid w:val="00676FF2"/>
    <w:rsid w:val="00692659"/>
    <w:rsid w:val="006A55DF"/>
    <w:rsid w:val="006A6DAC"/>
    <w:rsid w:val="006C59CF"/>
    <w:rsid w:val="006E0247"/>
    <w:rsid w:val="006F4FF2"/>
    <w:rsid w:val="00700E22"/>
    <w:rsid w:val="007053A5"/>
    <w:rsid w:val="007106F5"/>
    <w:rsid w:val="00731B78"/>
    <w:rsid w:val="00762008"/>
    <w:rsid w:val="00764F69"/>
    <w:rsid w:val="00791C6E"/>
    <w:rsid w:val="007D3610"/>
    <w:rsid w:val="007D65F3"/>
    <w:rsid w:val="0080407E"/>
    <w:rsid w:val="0081501B"/>
    <w:rsid w:val="00823B1A"/>
    <w:rsid w:val="0083606D"/>
    <w:rsid w:val="00837B6E"/>
    <w:rsid w:val="0084101E"/>
    <w:rsid w:val="00851104"/>
    <w:rsid w:val="0085313E"/>
    <w:rsid w:val="008534C6"/>
    <w:rsid w:val="00872757"/>
    <w:rsid w:val="00882CA5"/>
    <w:rsid w:val="00885143"/>
    <w:rsid w:val="008931DC"/>
    <w:rsid w:val="00897CDD"/>
    <w:rsid w:val="008A3C12"/>
    <w:rsid w:val="008B2E20"/>
    <w:rsid w:val="008D64EF"/>
    <w:rsid w:val="008E7893"/>
    <w:rsid w:val="008F2DC7"/>
    <w:rsid w:val="0090564D"/>
    <w:rsid w:val="00911A71"/>
    <w:rsid w:val="0091271F"/>
    <w:rsid w:val="00915E88"/>
    <w:rsid w:val="0092795F"/>
    <w:rsid w:val="00931228"/>
    <w:rsid w:val="00973EAA"/>
    <w:rsid w:val="0097758C"/>
    <w:rsid w:val="009A4200"/>
    <w:rsid w:val="009A4B62"/>
    <w:rsid w:val="009A78E1"/>
    <w:rsid w:val="009B6D4E"/>
    <w:rsid w:val="009E2B35"/>
    <w:rsid w:val="009E3B9E"/>
    <w:rsid w:val="009E734A"/>
    <w:rsid w:val="009E75DE"/>
    <w:rsid w:val="00A112DB"/>
    <w:rsid w:val="00A1345F"/>
    <w:rsid w:val="00A25E0A"/>
    <w:rsid w:val="00A3228A"/>
    <w:rsid w:val="00A415A6"/>
    <w:rsid w:val="00A5276F"/>
    <w:rsid w:val="00A5531B"/>
    <w:rsid w:val="00A63DB6"/>
    <w:rsid w:val="00A7778D"/>
    <w:rsid w:val="00AA28B7"/>
    <w:rsid w:val="00AA4F21"/>
    <w:rsid w:val="00AB60F4"/>
    <w:rsid w:val="00AB634D"/>
    <w:rsid w:val="00AC2E52"/>
    <w:rsid w:val="00AC4E3F"/>
    <w:rsid w:val="00AD4D30"/>
    <w:rsid w:val="00AD5134"/>
    <w:rsid w:val="00AE1580"/>
    <w:rsid w:val="00AE3A26"/>
    <w:rsid w:val="00AE4AFF"/>
    <w:rsid w:val="00AF32C1"/>
    <w:rsid w:val="00B12CFF"/>
    <w:rsid w:val="00B16330"/>
    <w:rsid w:val="00B32E46"/>
    <w:rsid w:val="00B36168"/>
    <w:rsid w:val="00B5030A"/>
    <w:rsid w:val="00B65B15"/>
    <w:rsid w:val="00B759A9"/>
    <w:rsid w:val="00B83E02"/>
    <w:rsid w:val="00B8684D"/>
    <w:rsid w:val="00B95895"/>
    <w:rsid w:val="00BA4DE3"/>
    <w:rsid w:val="00BB4583"/>
    <w:rsid w:val="00BB5818"/>
    <w:rsid w:val="00BB7A0A"/>
    <w:rsid w:val="00BD6697"/>
    <w:rsid w:val="00BE0581"/>
    <w:rsid w:val="00BF1187"/>
    <w:rsid w:val="00C1733E"/>
    <w:rsid w:val="00C21BCA"/>
    <w:rsid w:val="00C31671"/>
    <w:rsid w:val="00C327FB"/>
    <w:rsid w:val="00C60063"/>
    <w:rsid w:val="00C76F4C"/>
    <w:rsid w:val="00C801A5"/>
    <w:rsid w:val="00C80AE6"/>
    <w:rsid w:val="00C8714E"/>
    <w:rsid w:val="00C925E7"/>
    <w:rsid w:val="00CA10D5"/>
    <w:rsid w:val="00CA5FF8"/>
    <w:rsid w:val="00CB6545"/>
    <w:rsid w:val="00CC3C81"/>
    <w:rsid w:val="00CC59E2"/>
    <w:rsid w:val="00CC6AA8"/>
    <w:rsid w:val="00CC712A"/>
    <w:rsid w:val="00CD7194"/>
    <w:rsid w:val="00CE50DF"/>
    <w:rsid w:val="00CF6BBC"/>
    <w:rsid w:val="00D134D1"/>
    <w:rsid w:val="00D13946"/>
    <w:rsid w:val="00D16413"/>
    <w:rsid w:val="00D25282"/>
    <w:rsid w:val="00D37008"/>
    <w:rsid w:val="00D375DD"/>
    <w:rsid w:val="00D47456"/>
    <w:rsid w:val="00D5340F"/>
    <w:rsid w:val="00D6368C"/>
    <w:rsid w:val="00D64540"/>
    <w:rsid w:val="00D66E1E"/>
    <w:rsid w:val="00D96C4E"/>
    <w:rsid w:val="00DC229F"/>
    <w:rsid w:val="00DC5DB4"/>
    <w:rsid w:val="00DE34E8"/>
    <w:rsid w:val="00DE3895"/>
    <w:rsid w:val="00DE3951"/>
    <w:rsid w:val="00E13B7A"/>
    <w:rsid w:val="00E2557A"/>
    <w:rsid w:val="00E277FC"/>
    <w:rsid w:val="00E4565F"/>
    <w:rsid w:val="00E456FC"/>
    <w:rsid w:val="00E51321"/>
    <w:rsid w:val="00E52AF6"/>
    <w:rsid w:val="00E54F41"/>
    <w:rsid w:val="00E604F0"/>
    <w:rsid w:val="00E64504"/>
    <w:rsid w:val="00E92568"/>
    <w:rsid w:val="00E93A27"/>
    <w:rsid w:val="00EA7D9E"/>
    <w:rsid w:val="00EC3763"/>
    <w:rsid w:val="00ED1BEC"/>
    <w:rsid w:val="00ED5361"/>
    <w:rsid w:val="00EE191C"/>
    <w:rsid w:val="00F00CB3"/>
    <w:rsid w:val="00F103E8"/>
    <w:rsid w:val="00F27643"/>
    <w:rsid w:val="00F37FA9"/>
    <w:rsid w:val="00F433E2"/>
    <w:rsid w:val="00F52887"/>
    <w:rsid w:val="00F64FFA"/>
    <w:rsid w:val="00F90C99"/>
    <w:rsid w:val="00FA69BB"/>
    <w:rsid w:val="00FB28C3"/>
    <w:rsid w:val="00FC5942"/>
    <w:rsid w:val="00FE5952"/>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paragraph" w:customStyle="1" w:styleId="paragraph">
    <w:name w:val="paragraph"/>
    <w:basedOn w:val="Normal"/>
    <w:rsid w:val="00C31671"/>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31671"/>
  </w:style>
  <w:style w:type="character" w:customStyle="1" w:styleId="eop">
    <w:name w:val="eop"/>
    <w:basedOn w:val="DefaultParagraphFont"/>
    <w:rsid w:val="00C31671"/>
  </w:style>
  <w:style w:type="paragraph" w:customStyle="1" w:styleId="GlHead">
    <w:name w:val="GlHead"/>
    <w:basedOn w:val="Normal"/>
    <w:next w:val="Normal"/>
    <w:autoRedefine/>
    <w:qFormat/>
    <w:rsid w:val="00AC2E52"/>
    <w:pPr>
      <w:keepNext/>
    </w:pPr>
    <w:rPr>
      <w:rFonts w:cs="Arial"/>
      <w:color w:val="009EE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651518181">
      <w:bodyDiv w:val="1"/>
      <w:marLeft w:val="0"/>
      <w:marRight w:val="0"/>
      <w:marTop w:val="0"/>
      <w:marBottom w:val="0"/>
      <w:divBdr>
        <w:top w:val="none" w:sz="0" w:space="0" w:color="auto"/>
        <w:left w:val="none" w:sz="0" w:space="0" w:color="auto"/>
        <w:bottom w:val="none" w:sz="0" w:space="0" w:color="auto"/>
        <w:right w:val="none" w:sz="0" w:space="0" w:color="auto"/>
      </w:divBdr>
      <w:divsChild>
        <w:div w:id="1587810578">
          <w:marLeft w:val="0"/>
          <w:marRight w:val="0"/>
          <w:marTop w:val="0"/>
          <w:marBottom w:val="0"/>
          <w:divBdr>
            <w:top w:val="none" w:sz="0" w:space="0" w:color="auto"/>
            <w:left w:val="none" w:sz="0" w:space="0" w:color="auto"/>
            <w:bottom w:val="none" w:sz="0" w:space="0" w:color="auto"/>
            <w:right w:val="none" w:sz="0" w:space="0" w:color="auto"/>
          </w:divBdr>
        </w:div>
        <w:div w:id="1499341875">
          <w:marLeft w:val="0"/>
          <w:marRight w:val="0"/>
          <w:marTop w:val="0"/>
          <w:marBottom w:val="0"/>
          <w:divBdr>
            <w:top w:val="none" w:sz="0" w:space="0" w:color="auto"/>
            <w:left w:val="none" w:sz="0" w:space="0" w:color="auto"/>
            <w:bottom w:val="none" w:sz="0" w:space="0" w:color="auto"/>
            <w:right w:val="none" w:sz="0" w:space="0" w:color="auto"/>
          </w:divBdr>
        </w:div>
        <w:div w:id="1066487930">
          <w:marLeft w:val="0"/>
          <w:marRight w:val="0"/>
          <w:marTop w:val="0"/>
          <w:marBottom w:val="0"/>
          <w:divBdr>
            <w:top w:val="none" w:sz="0" w:space="0" w:color="auto"/>
            <w:left w:val="none" w:sz="0" w:space="0" w:color="auto"/>
            <w:bottom w:val="none" w:sz="0" w:space="0" w:color="auto"/>
            <w:right w:val="none" w:sz="0" w:space="0" w:color="auto"/>
          </w:divBdr>
        </w:div>
        <w:div w:id="2059937789">
          <w:marLeft w:val="0"/>
          <w:marRight w:val="0"/>
          <w:marTop w:val="0"/>
          <w:marBottom w:val="0"/>
          <w:divBdr>
            <w:top w:val="none" w:sz="0" w:space="0" w:color="auto"/>
            <w:left w:val="none" w:sz="0" w:space="0" w:color="auto"/>
            <w:bottom w:val="none" w:sz="0" w:space="0" w:color="auto"/>
            <w:right w:val="none" w:sz="0" w:space="0" w:color="auto"/>
          </w:divBdr>
        </w:div>
        <w:div w:id="510340837">
          <w:marLeft w:val="0"/>
          <w:marRight w:val="0"/>
          <w:marTop w:val="0"/>
          <w:marBottom w:val="0"/>
          <w:divBdr>
            <w:top w:val="none" w:sz="0" w:space="0" w:color="auto"/>
            <w:left w:val="none" w:sz="0" w:space="0" w:color="auto"/>
            <w:bottom w:val="none" w:sz="0" w:space="0" w:color="auto"/>
            <w:right w:val="none" w:sz="0" w:space="0" w:color="auto"/>
          </w:divBdr>
        </w:div>
        <w:div w:id="667371036">
          <w:marLeft w:val="0"/>
          <w:marRight w:val="0"/>
          <w:marTop w:val="0"/>
          <w:marBottom w:val="0"/>
          <w:divBdr>
            <w:top w:val="none" w:sz="0" w:space="0" w:color="auto"/>
            <w:left w:val="none" w:sz="0" w:space="0" w:color="auto"/>
            <w:bottom w:val="none" w:sz="0" w:space="0" w:color="auto"/>
            <w:right w:val="none" w:sz="0" w:space="0" w:color="auto"/>
          </w:divBdr>
        </w:div>
        <w:div w:id="1198472992">
          <w:marLeft w:val="0"/>
          <w:marRight w:val="0"/>
          <w:marTop w:val="0"/>
          <w:marBottom w:val="0"/>
          <w:divBdr>
            <w:top w:val="none" w:sz="0" w:space="0" w:color="auto"/>
            <w:left w:val="none" w:sz="0" w:space="0" w:color="auto"/>
            <w:bottom w:val="none" w:sz="0" w:space="0" w:color="auto"/>
            <w:right w:val="none" w:sz="0" w:space="0" w:color="auto"/>
          </w:divBdr>
        </w:div>
        <w:div w:id="1196310129">
          <w:marLeft w:val="0"/>
          <w:marRight w:val="0"/>
          <w:marTop w:val="0"/>
          <w:marBottom w:val="0"/>
          <w:divBdr>
            <w:top w:val="none" w:sz="0" w:space="0" w:color="auto"/>
            <w:left w:val="none" w:sz="0" w:space="0" w:color="auto"/>
            <w:bottom w:val="none" w:sz="0" w:space="0" w:color="auto"/>
            <w:right w:val="none" w:sz="0" w:space="0" w:color="auto"/>
          </w:divBdr>
        </w:div>
        <w:div w:id="2089307150">
          <w:marLeft w:val="0"/>
          <w:marRight w:val="0"/>
          <w:marTop w:val="0"/>
          <w:marBottom w:val="0"/>
          <w:divBdr>
            <w:top w:val="none" w:sz="0" w:space="0" w:color="auto"/>
            <w:left w:val="none" w:sz="0" w:space="0" w:color="auto"/>
            <w:bottom w:val="none" w:sz="0" w:space="0" w:color="auto"/>
            <w:right w:val="none" w:sz="0" w:space="0" w:color="auto"/>
          </w:divBdr>
        </w:div>
        <w:div w:id="1703557753">
          <w:marLeft w:val="0"/>
          <w:marRight w:val="0"/>
          <w:marTop w:val="0"/>
          <w:marBottom w:val="0"/>
          <w:divBdr>
            <w:top w:val="none" w:sz="0" w:space="0" w:color="auto"/>
            <w:left w:val="none" w:sz="0" w:space="0" w:color="auto"/>
            <w:bottom w:val="none" w:sz="0" w:space="0" w:color="auto"/>
            <w:right w:val="none" w:sz="0" w:space="0" w:color="auto"/>
          </w:divBdr>
        </w:div>
        <w:div w:id="998657057">
          <w:marLeft w:val="0"/>
          <w:marRight w:val="0"/>
          <w:marTop w:val="0"/>
          <w:marBottom w:val="0"/>
          <w:divBdr>
            <w:top w:val="none" w:sz="0" w:space="0" w:color="auto"/>
            <w:left w:val="none" w:sz="0" w:space="0" w:color="auto"/>
            <w:bottom w:val="none" w:sz="0" w:space="0" w:color="auto"/>
            <w:right w:val="none" w:sz="0" w:space="0" w:color="auto"/>
          </w:divBdr>
        </w:div>
        <w:div w:id="743184962">
          <w:marLeft w:val="0"/>
          <w:marRight w:val="0"/>
          <w:marTop w:val="0"/>
          <w:marBottom w:val="0"/>
          <w:divBdr>
            <w:top w:val="none" w:sz="0" w:space="0" w:color="auto"/>
            <w:left w:val="none" w:sz="0" w:space="0" w:color="auto"/>
            <w:bottom w:val="none" w:sz="0" w:space="0" w:color="auto"/>
            <w:right w:val="none" w:sz="0" w:space="0" w:color="auto"/>
          </w:divBdr>
        </w:div>
        <w:div w:id="1710374009">
          <w:marLeft w:val="0"/>
          <w:marRight w:val="0"/>
          <w:marTop w:val="0"/>
          <w:marBottom w:val="0"/>
          <w:divBdr>
            <w:top w:val="none" w:sz="0" w:space="0" w:color="auto"/>
            <w:left w:val="none" w:sz="0" w:space="0" w:color="auto"/>
            <w:bottom w:val="none" w:sz="0" w:space="0" w:color="auto"/>
            <w:right w:val="none" w:sz="0" w:space="0" w:color="auto"/>
          </w:divBdr>
        </w:div>
        <w:div w:id="156969155">
          <w:marLeft w:val="0"/>
          <w:marRight w:val="0"/>
          <w:marTop w:val="0"/>
          <w:marBottom w:val="0"/>
          <w:divBdr>
            <w:top w:val="none" w:sz="0" w:space="0" w:color="auto"/>
            <w:left w:val="none" w:sz="0" w:space="0" w:color="auto"/>
            <w:bottom w:val="none" w:sz="0" w:space="0" w:color="auto"/>
            <w:right w:val="none" w:sz="0" w:space="0" w:color="auto"/>
          </w:divBdr>
        </w:div>
        <w:div w:id="1416320550">
          <w:marLeft w:val="0"/>
          <w:marRight w:val="0"/>
          <w:marTop w:val="0"/>
          <w:marBottom w:val="0"/>
          <w:divBdr>
            <w:top w:val="none" w:sz="0" w:space="0" w:color="auto"/>
            <w:left w:val="none" w:sz="0" w:space="0" w:color="auto"/>
            <w:bottom w:val="none" w:sz="0" w:space="0" w:color="auto"/>
            <w:right w:val="none" w:sz="0" w:space="0" w:color="auto"/>
          </w:divBdr>
        </w:div>
        <w:div w:id="576018535">
          <w:marLeft w:val="0"/>
          <w:marRight w:val="0"/>
          <w:marTop w:val="0"/>
          <w:marBottom w:val="0"/>
          <w:divBdr>
            <w:top w:val="none" w:sz="0" w:space="0" w:color="auto"/>
            <w:left w:val="none" w:sz="0" w:space="0" w:color="auto"/>
            <w:bottom w:val="none" w:sz="0" w:space="0" w:color="auto"/>
            <w:right w:val="none" w:sz="0" w:space="0" w:color="auto"/>
          </w:divBdr>
        </w:div>
        <w:div w:id="459765684">
          <w:marLeft w:val="0"/>
          <w:marRight w:val="0"/>
          <w:marTop w:val="0"/>
          <w:marBottom w:val="0"/>
          <w:divBdr>
            <w:top w:val="none" w:sz="0" w:space="0" w:color="auto"/>
            <w:left w:val="none" w:sz="0" w:space="0" w:color="auto"/>
            <w:bottom w:val="none" w:sz="0" w:space="0" w:color="auto"/>
            <w:right w:val="none" w:sz="0" w:space="0" w:color="auto"/>
          </w:divBdr>
        </w:div>
        <w:div w:id="1316372400">
          <w:marLeft w:val="0"/>
          <w:marRight w:val="0"/>
          <w:marTop w:val="0"/>
          <w:marBottom w:val="0"/>
          <w:divBdr>
            <w:top w:val="none" w:sz="0" w:space="0" w:color="auto"/>
            <w:left w:val="none" w:sz="0" w:space="0" w:color="auto"/>
            <w:bottom w:val="none" w:sz="0" w:space="0" w:color="auto"/>
            <w:right w:val="none" w:sz="0" w:space="0" w:color="auto"/>
          </w:divBdr>
        </w:div>
        <w:div w:id="1518037942">
          <w:marLeft w:val="0"/>
          <w:marRight w:val="0"/>
          <w:marTop w:val="0"/>
          <w:marBottom w:val="0"/>
          <w:divBdr>
            <w:top w:val="none" w:sz="0" w:space="0" w:color="auto"/>
            <w:left w:val="none" w:sz="0" w:space="0" w:color="auto"/>
            <w:bottom w:val="none" w:sz="0" w:space="0" w:color="auto"/>
            <w:right w:val="none" w:sz="0" w:space="0" w:color="auto"/>
          </w:divBdr>
        </w:div>
        <w:div w:id="1091463683">
          <w:marLeft w:val="0"/>
          <w:marRight w:val="0"/>
          <w:marTop w:val="0"/>
          <w:marBottom w:val="0"/>
          <w:divBdr>
            <w:top w:val="none" w:sz="0" w:space="0" w:color="auto"/>
            <w:left w:val="none" w:sz="0" w:space="0" w:color="auto"/>
            <w:bottom w:val="none" w:sz="0" w:space="0" w:color="auto"/>
            <w:right w:val="none" w:sz="0" w:space="0" w:color="auto"/>
          </w:divBdr>
        </w:div>
        <w:div w:id="314382494">
          <w:marLeft w:val="0"/>
          <w:marRight w:val="0"/>
          <w:marTop w:val="0"/>
          <w:marBottom w:val="0"/>
          <w:divBdr>
            <w:top w:val="none" w:sz="0" w:space="0" w:color="auto"/>
            <w:left w:val="none" w:sz="0" w:space="0" w:color="auto"/>
            <w:bottom w:val="none" w:sz="0" w:space="0" w:color="auto"/>
            <w:right w:val="none" w:sz="0" w:space="0" w:color="auto"/>
          </w:divBdr>
        </w:div>
        <w:div w:id="1814248403">
          <w:marLeft w:val="0"/>
          <w:marRight w:val="0"/>
          <w:marTop w:val="0"/>
          <w:marBottom w:val="0"/>
          <w:divBdr>
            <w:top w:val="none" w:sz="0" w:space="0" w:color="auto"/>
            <w:left w:val="none" w:sz="0" w:space="0" w:color="auto"/>
            <w:bottom w:val="none" w:sz="0" w:space="0" w:color="auto"/>
            <w:right w:val="none" w:sz="0" w:space="0" w:color="auto"/>
          </w:divBdr>
        </w:div>
      </w:divsChild>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8" ma:contentTypeDescription="Create a new document." ma:contentTypeScope="" ma:versionID="d222a70a2309a844eba22e81d3fec13f">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18553bfefa2a97e7e4724cfddf0846a3"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MediaLengthInSeconds" ma:index="8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2.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3.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4.xml><?xml version="1.0" encoding="utf-8"?>
<ds:datastoreItem xmlns:ds="http://schemas.openxmlformats.org/officeDocument/2006/customXml" ds:itemID="{C944F453-D641-471C-BAE9-C31956B898D7}"/>
</file>

<file path=customXml/itemProps5.xml><?xml version="1.0" encoding="utf-8"?>
<ds:datastoreItem xmlns:ds="http://schemas.openxmlformats.org/officeDocument/2006/customXml" ds:itemID="{B15F4B15-C8A9-4E6D-ACD8-7F8FD93BDE62}"/>
</file>

<file path=docProps/app.xml><?xml version="1.0" encoding="utf-8"?>
<Properties xmlns="http://schemas.openxmlformats.org/officeDocument/2006/extended-properties" xmlns:vt="http://schemas.openxmlformats.org/officeDocument/2006/docPropsVTypes">
  <Template>Normal</Template>
  <TotalTime>36</TotalTime>
  <Pages>2</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Eager</cp:lastModifiedBy>
  <cp:revision>4</cp:revision>
  <cp:lastPrinted>2015-04-24T12:01:00Z</cp:lastPrinted>
  <dcterms:created xsi:type="dcterms:W3CDTF">2022-02-24T10:42:00Z</dcterms:created>
  <dcterms:modified xsi:type="dcterms:W3CDTF">2022-02-24T12:05:00Z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2;#Delivery|125c2427-d936-4032-b69a-60fc431a04d2</vt:lpwstr>
  </property>
  <property fmtid="{D5CDD505-2E9C-101B-9397-08002B2CF9AE}" pid="19" name="_dlc_DocIdItemGuid">
    <vt:lpwstr>242bcc95-9644-46a7-a498-7eab8c205fb5</vt:lpwstr>
  </property>
</Properties>
</file>